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218</w:t>
      </w:r>
    </w:p>
    <w:p>
      <w:r>
        <w:t>Bundesgericht (BGE), 1996-05-23, DE</w:t>
      </w:r>
    </w:p>
    <w:p>
      <w:r>
        <w:rPr>
          <w:b/>
        </w:rPr>
        <w:t xml:space="preserve">Quelle: </w:t>
      </w:r>
      <w:r>
        <w:t>https://mcp.opencaselaw.ch/entscheid/bge_122 V 218</w:t>
      </w:r>
    </w:p>
    <w:p>
      <w:r>
        <w:t>FR: ATF 122 V 218</w:t>
      </w:r>
    </w:p>
    <w:p>
      <w:r>
        <w:t>IT: DTF 122 V 218</w:t>
      </w:r>
    </w:p>
    <w:p>
      <w:pPr>
        <w:pStyle w:val="Heading2"/>
      </w:pPr>
      <w:r>
        <w:t>Regeste</w:t>
      </w:r>
    </w:p>
    <w:p>
      <w:r>
        <w:t>Regeste Art. 31 Abs. 1 IVG: Mahn- und Bedenkzeitverfahren. Gegenüber einem Eingliederungsmassnahmen ablehnenden Versicherten darf die Verwaltung in jedem Fall erst nach durchgeführtem Mahn- und Bedenkzeitverfahren die Verweigerung oder den Entzug von Versicherungsleistungen verfügen. Das Mahn- und Bedenkzeitverfahren gemäss Art. 31 Abs. 1 IVG kann nicht durch einen blossen (in die Ablehnungsverfügung aufgenommenen) Hinweis auf die Möglichkeit einer späteren Neuanmeldung ersetzt werden, und es muss auch dann durchgeführt werden, wenn der Versicherte eine konkrete zumutbare Eingliederungsmassnahme unmissverständlich abgelehnt hat (Änderung der Rechtsprechung).</w:t>
      </w:r>
    </w:p>
    <w:p>
      <w:pPr>
        <w:pStyle w:val="Heading2"/>
      </w:pPr>
      <w:r>
        <w:t>Erwägungen</w:t>
      </w:r>
    </w:p>
    <w:p>
      <w:r>
        <w:rPr>
          <w:b/>
        </w:rPr>
        <w:t>E. 4</w:t>
      </w:r>
    </w:p>
    <w:p>
      <w:r>
        <w:t>b) Art. 10 Abs. 2 IVG sieht vor, dass der Anspruchsberechtigte verpflichtet ist, die Durchführung aller Massnahmen, die zu seiner Eingliederung ins Erwerbsleben getroffen werden, zu erleichtern. Die Versicherung kann ihre Leistungen einstellen, wenn der Anspruchsberechtigte die Eingliederung erschwert oder verunmöglicht; unter den Begriff der Leistungen im Sinne von Art. 10 Abs. 2 IVG fallen Eingliederungsmassnahmen und Taggelder. Nach der Rechtsprechung ist die Einstellung dieser Leistungen allerdings erst nach durchgeführtem Mahn- und Bedenkzeitverfahren im Sinne von Art. 31 Abs. 1 IVG zulässig (ZAK 1983 S. 28 Erw. 3 Abs. 1; MAURER, Bundessozialversicherungsrecht, Basel und Frankfurt a.M. 1993, S. 169 f.). Gemäss dieser Gesetzesbestimmung kann die Verweigerung oder der Entzug der Leistung erst verfügt werden, wenn die Verwaltung den Versicherten vorgängig durch eine schriftliche Mahnung und unter Einräumung einer angemessenen Bedenkzeit auf die Folgen seiner Widersetzlichkeit aufmerksam gemacht hat. Die Sanktion muss in gehöriger Form und unter Fristansetzung angekündigt werden (MAURER, a.a.O., S. 150 und 169 f.; MEYER-BLASER, Zum Verhältnismässigkeitsgrundsatz im staatlichen Leistungsrecht, Diss. Bern 1985, S. 140 f.; vgl. auch BGE 108 V 215 f. als Beispiel einer Fristansetzung zur Selbsteingliederung). BGE 122 V 218 S. 220 Nach der Rechtsprechung ( BGE 97 V 175 unten Erw. 2; ZAK 1984 S. 36 f. Erw. 1) erübrigt sich die Durchführung des Mahn- und Bedenkzeitverfahrens, wenn der Eingliederungsmassnahmen ablehnende Versicherte in der leistungsausschliessenden oder -beschränkenden Verfügung auf die Möglichkeit der Neuanmeldung hingewiesen wird für den Fall, dass er seinen Widerstand gegen die Durchführung von Eingliederungsmassnahmen aufgibt. Diese Rechtsprechung wurde kritisiert (MEYER-BLASER, a.a.O., S. 140 ff., insbes. S. 142): Nur eine konsequente Handhabung des Mahn- und Bedenkzeitverfahrens schaffe klare Verhältnisse in dem Sinne, dass der Versicherte wisse, woran er ist; der Hinweis auf die Möglichkeit einer späteren Neuanmeldung sei nicht zulässig, weil der rechtsunkundige Versicherte nicht abschätzen könne, welche nachteiligen Folgen eine verspätete Anmeldung nach sich zieht ( Art. 48 Abs. 2 IVG : Beschränkung der Nachzahlung von Leistungen auf die letzten zwölf der Anmeldung vorangegangenen Monate). Diese Kritik ist begründet. Sinn und Zweck von Art. 31 Abs. 1 IVG ist es, den Versicherten in jedem Fall auf die möglichen nachteiligen Folgen seines Widerstandes gegen Eingliederungsmassnahmen aufmerksam zu machen und ihn so in die Lage zu versetzen, in Kenntnis aller wesentlichen Faktoren seine Entscheidung zu treffen. Die bisherige Praxis erweist sich deshalb als unrichtig, weshalb daran nicht festgehalten werden kann ( BGE 119 V 260 Erw. 4a). Ergänzend ist darauf hinzuweisen, dass gemäss ZAK 1983 S. 28 Erw. 3 (Abs. 2 und 3) auch an der in BGE 100 V 190 Erw. 4 veröffentlichten Rechtsprechung nicht festzuhalten ist, wonach sich die Durchführung des Mahn- und Bedenkzeitverfahrens erübrigt, wenn die Verwaltung eine konkrete, erfolgversprechende, zumutbare Eingliederungsmassnahme bezeichnet und der Versicherte diese unmissverständlich abgelehnt hat. Zwar nimmt ZAK 1983 S. 28 Erw. 3 nicht ausdrücklich auf BGE 100 V 190 Bezug; inhaltlich wurde indessen die in diesem Urteil begründete Rechtsprechung durch den neuen Entscheid geändert. Es ist somit festzustellen, dass weder unter den in BGE 97 V 175 Erw. 2 und ZAK 1984 S. 36 f. Erw. 1 noch unter den in BGE 100 V 190 Erw. 4 umschriebenen Voraussetzungen von der Durchführung des Mahn- und Bedenkzeitverfahrens gemäss Art. 31 Abs. 1 IVG Abstand genommen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